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A0" w:rsidRPr="00742AF3" w:rsidRDefault="00D91DB0" w:rsidP="00CD38A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-106680</wp:posOffset>
            </wp:positionV>
            <wp:extent cx="984885" cy="699770"/>
            <wp:effectExtent l="0" t="0" r="5715" b="5080"/>
            <wp:wrapSquare wrapText="bothSides"/>
            <wp:docPr id="2" name="Immagine 1" descr="47SettimanaSocial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47SettimanaSocial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A0" w:rsidRPr="00742AF3">
        <w:rPr>
          <w:sz w:val="20"/>
        </w:rPr>
        <w:t>47</w:t>
      </w:r>
      <w:r w:rsidR="00CD38A0" w:rsidRPr="00742AF3">
        <w:rPr>
          <w:sz w:val="20"/>
          <w:vertAlign w:val="superscript"/>
        </w:rPr>
        <w:t>a</w:t>
      </w:r>
      <w:r w:rsidR="00CD38A0" w:rsidRPr="00742AF3">
        <w:rPr>
          <w:sz w:val="20"/>
        </w:rPr>
        <w:t xml:space="preserve"> Settimana Sociale dei Cattolici Italiani</w:t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</w:p>
    <w:p w:rsidR="00CD38A0" w:rsidRPr="00742AF3" w:rsidRDefault="00CD38A0" w:rsidP="00CD38A0">
      <w:pPr>
        <w:widowControl w:val="0"/>
        <w:outlineLvl w:val="0"/>
        <w:rPr>
          <w:b/>
          <w:i/>
          <w:iCs/>
          <w:sz w:val="20"/>
        </w:rPr>
      </w:pPr>
      <w:r w:rsidRPr="00742AF3">
        <w:rPr>
          <w:b/>
          <w:i/>
          <w:iCs/>
          <w:sz w:val="20"/>
        </w:rPr>
        <w:t xml:space="preserve">La famiglia, speranza e futuro </w:t>
      </w:r>
    </w:p>
    <w:p w:rsidR="00CD38A0" w:rsidRPr="00742AF3" w:rsidRDefault="00CD38A0" w:rsidP="00CD38A0">
      <w:pPr>
        <w:widowControl w:val="0"/>
        <w:outlineLvl w:val="0"/>
        <w:rPr>
          <w:sz w:val="20"/>
        </w:rPr>
      </w:pPr>
      <w:r w:rsidRPr="00742AF3">
        <w:rPr>
          <w:b/>
          <w:i/>
          <w:iCs/>
          <w:sz w:val="20"/>
        </w:rPr>
        <w:t>per la società italiana</w:t>
      </w:r>
      <w:r w:rsidRPr="00742AF3">
        <w:rPr>
          <w:b/>
          <w:i/>
          <w:iCs/>
          <w:sz w:val="20"/>
        </w:rPr>
        <w:br/>
      </w:r>
      <w:r w:rsidRPr="00742AF3">
        <w:rPr>
          <w:sz w:val="20"/>
        </w:rPr>
        <w:t>Torino, 12-15 settembre 2013</w:t>
      </w:r>
    </w:p>
    <w:p w:rsidR="00CD38A0" w:rsidRPr="00CD38A0" w:rsidRDefault="00CD38A0" w:rsidP="00CD38A0">
      <w:pPr>
        <w:widowControl w:val="0"/>
        <w:outlineLvl w:val="0"/>
        <w:rPr>
          <w:color w:val="0000FF"/>
        </w:rPr>
      </w:pPr>
    </w:p>
    <w:p w:rsidR="00CD38A0" w:rsidRPr="00CD38A0" w:rsidRDefault="00CD38A0" w:rsidP="00CD38A0">
      <w:pPr>
        <w:widowControl w:val="0"/>
        <w:outlineLvl w:val="0"/>
        <w:rPr>
          <w:color w:val="0000FF"/>
        </w:rPr>
      </w:pPr>
    </w:p>
    <w:p w:rsidR="00742AF3" w:rsidRPr="00742AF3" w:rsidRDefault="00742AF3" w:rsidP="0074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Cs/>
          <w:sz w:val="12"/>
          <w:szCs w:val="12"/>
        </w:rPr>
      </w:pPr>
    </w:p>
    <w:p w:rsidR="00625601" w:rsidRPr="00625601" w:rsidRDefault="00625601" w:rsidP="00625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 w:rsidRPr="00625601">
        <w:rPr>
          <w:b/>
          <w:bCs/>
          <w:i/>
          <w:iCs/>
          <w:sz w:val="28"/>
          <w:szCs w:val="28"/>
        </w:rPr>
        <w:t>8. La custodia del creato per una solidarietà intergenerazionale</w:t>
      </w:r>
    </w:p>
    <w:p w:rsidR="00625601" w:rsidRPr="00625601" w:rsidRDefault="00625601" w:rsidP="00625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</w:rPr>
      </w:pPr>
      <w:r w:rsidRPr="00625601">
        <w:rPr>
          <w:b/>
          <w:bCs/>
        </w:rPr>
        <w:t xml:space="preserve">Prof. Pierluigi Malavasi </w:t>
      </w:r>
    </w:p>
    <w:p w:rsidR="00625601" w:rsidRDefault="00625601" w:rsidP="00625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625601">
        <w:rPr>
          <w:bCs/>
          <w:sz w:val="20"/>
          <w:szCs w:val="20"/>
        </w:rPr>
        <w:t>Ordinario di Pedagogia dell'organizzazione e sviluppo delle risorse umane, Università Cattolica del Sacro Cuore</w:t>
      </w:r>
      <w:r w:rsidRPr="00625601">
        <w:rPr>
          <w:sz w:val="20"/>
          <w:szCs w:val="20"/>
        </w:rPr>
        <w:t xml:space="preserve"> </w:t>
      </w:r>
    </w:p>
    <w:p w:rsidR="004D623E" w:rsidRDefault="00625601" w:rsidP="004E0B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Domenica 15</w:t>
      </w:r>
      <w:r w:rsidRPr="00742AF3">
        <w:rPr>
          <w:sz w:val="20"/>
          <w:szCs w:val="20"/>
        </w:rPr>
        <w:t xml:space="preserve"> settembre 2013</w:t>
      </w:r>
    </w:p>
    <w:p w:rsidR="00742AF3" w:rsidRPr="00742AF3" w:rsidRDefault="00742AF3" w:rsidP="0074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12"/>
          <w:szCs w:val="12"/>
        </w:rPr>
      </w:pPr>
    </w:p>
    <w:p w:rsidR="00260257" w:rsidRPr="00CD38A0" w:rsidRDefault="00260257"/>
    <w:p w:rsidR="00CD38A0" w:rsidRDefault="00CD38A0"/>
    <w:p w:rsidR="00625601" w:rsidRPr="00625601" w:rsidRDefault="00625601" w:rsidP="00625601">
      <w:pPr>
        <w:jc w:val="both"/>
      </w:pPr>
      <w:r w:rsidRPr="00625601">
        <w:t>Custodire il creato, custodire la vita, custodire le relazioni, a partire da quelle familiari: un’indicazione forte del Magistero di papa Francesco (</w:t>
      </w:r>
      <w:r w:rsidRPr="00625601">
        <w:rPr>
          <w:i/>
        </w:rPr>
        <w:t>Omelia del 19 marzo</w:t>
      </w:r>
      <w:r w:rsidR="008D64A5">
        <w:rPr>
          <w:i/>
        </w:rPr>
        <w:t xml:space="preserve"> 2013</w:t>
      </w:r>
      <w:r w:rsidRPr="00625601">
        <w:t>), che richiama una pace declinata come legame stretto tra ecologia ambientale ed ecologia umana. Tale ampiezza di orizzonte e complessità hanno accompagnato i lavori dell’Assemblea 8, il cui tema trasversale coinvolge la formazione alla responsabilità di una pluralità di soggetti.</w:t>
      </w:r>
    </w:p>
    <w:p w:rsidR="00625601" w:rsidRDefault="00625601" w:rsidP="00625601">
      <w:pPr>
        <w:jc w:val="both"/>
      </w:pPr>
      <w:r>
        <w:t>A</w:t>
      </w:r>
      <w:r w:rsidRPr="00625601">
        <w:t xml:space="preserve">bbiamo individuato Quattro sfide, in particolare: </w:t>
      </w:r>
    </w:p>
    <w:p w:rsidR="00625601" w:rsidRPr="00625601" w:rsidRDefault="00625601" w:rsidP="00625601">
      <w:pPr>
        <w:jc w:val="both"/>
      </w:pPr>
    </w:p>
    <w:p w:rsidR="00625601" w:rsidRPr="00625601" w:rsidRDefault="00625601" w:rsidP="00625601">
      <w:pPr>
        <w:jc w:val="both"/>
        <w:rPr>
          <w:b/>
        </w:rPr>
      </w:pPr>
      <w:r w:rsidRPr="00625601">
        <w:rPr>
          <w:b/>
        </w:rPr>
        <w:t>Rigenerare le periferie violate del creato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Abbiamo ascoltato storie di periferie ambientali, di terre in cui è stata portata bruttezza e degrado dall’inquinamento o dal mutamento climatico, storie di sofferenza e di morte (come Pozzuoli, Taranto, Casale Monferrato, Sulmona).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 xml:space="preserve">Abbiamo sottolineato l’importanza di riscoprire l’appartenenza al luogo ed al territorio, di valorizzare le relazioni che lo caratterizzano, di presidiarne la vivibilità, in un’interazione costruttiva tra locale e globale. </w:t>
      </w:r>
    </w:p>
    <w:p w:rsidR="00625601" w:rsidRPr="00625601" w:rsidRDefault="00625601" w:rsidP="00625601">
      <w:pPr>
        <w:jc w:val="both"/>
      </w:pPr>
    </w:p>
    <w:p w:rsidR="00625601" w:rsidRPr="00625601" w:rsidRDefault="00625601" w:rsidP="00625601">
      <w:pPr>
        <w:jc w:val="both"/>
        <w:rPr>
          <w:b/>
        </w:rPr>
      </w:pPr>
      <w:r w:rsidRPr="00625601">
        <w:rPr>
          <w:b/>
        </w:rPr>
        <w:t>Coltivare la memoria custodire il futuro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Le famiglie sono ambiti privilegiati di educazione alla custodia del creato, nell’incontro tra generazioni e nella trasmissione di esperienze</w:t>
      </w:r>
      <w:r w:rsidR="008D64A5">
        <w:t>.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Le comunità ecclesiali hanno risorse peculiari per una formazione in tal senso (si pensi alla Giornata del Creato ed a quella del Ringraziamento) ed i nostri oratori possono essere laboratori di talenti.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Un ruolo strategico è quello di scuola ed università, per un’informazione ed una ricerca che si facciano formazione competente, nel segno della multidisciplinarietà.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Ciò che interessa è far crescere un’attiva cittadinanza ambientale, capace di esprimersi anche in occasioni ed eventi pubblici (come l’Expo 2015).</w:t>
      </w:r>
    </w:p>
    <w:p w:rsidR="00625601" w:rsidRPr="00625601" w:rsidRDefault="00625601" w:rsidP="00625601">
      <w:pPr>
        <w:jc w:val="both"/>
      </w:pPr>
    </w:p>
    <w:p w:rsidR="00625601" w:rsidRPr="00625601" w:rsidRDefault="00625601" w:rsidP="00625601">
      <w:pPr>
        <w:jc w:val="both"/>
      </w:pPr>
      <w:r w:rsidRPr="00625601">
        <w:rPr>
          <w:b/>
        </w:rPr>
        <w:t>Diventare testimoni di conversione ecologica</w:t>
      </w:r>
      <w:r w:rsidRPr="00625601">
        <w:t xml:space="preserve"> 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Dall’individualismo consumista dello spreco…</w:t>
      </w:r>
    </w:p>
    <w:p w:rsidR="00625601" w:rsidRPr="00625601" w:rsidRDefault="00625601" w:rsidP="00625601">
      <w:pPr>
        <w:jc w:val="both"/>
      </w:pPr>
      <w:r w:rsidRPr="00625601">
        <w:t>…a stili di vita intessuti di sobrietà e di cultura della bellezza…</w:t>
      </w:r>
    </w:p>
    <w:p w:rsidR="00625601" w:rsidRPr="00625601" w:rsidRDefault="00625601" w:rsidP="00625601">
      <w:pPr>
        <w:jc w:val="both"/>
      </w:pPr>
      <w:r w:rsidRPr="00625601">
        <w:t>…con un’attenzione specifica per l’efficienza energetica degli edifici – anche ecclesiali – nel segno di forme di riscaldamento ed illuminazione sostenibili.</w:t>
      </w:r>
    </w:p>
    <w:p w:rsidR="00625601" w:rsidRPr="00625601" w:rsidRDefault="00625601" w:rsidP="00625601">
      <w:pPr>
        <w:jc w:val="both"/>
      </w:pPr>
    </w:p>
    <w:p w:rsidR="00625601" w:rsidRPr="00625601" w:rsidRDefault="00625601" w:rsidP="00625601">
      <w:pPr>
        <w:jc w:val="both"/>
        <w:rPr>
          <w:b/>
        </w:rPr>
      </w:pPr>
      <w:r w:rsidRPr="00625601">
        <w:rPr>
          <w:b/>
        </w:rPr>
        <w:t>Lavoro o ambiente: è una scelta?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 xml:space="preserve">Rifiutare il ricatto violento dello scambio tra lavoro ed ambiente; per forme di lavoro buono, che riducano il consumo di natura e lo spreco dei beni ambientali primari (acqua, suolo, aria, biodiversità, energia), promuovendo uno sviluppo sano, durevole, generativo di capitale sociale e benessere. 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Per buone pratiche imprenditoriali socialmente responsabili – quelle che spesso sono legate a tante famiglie coraggiose ed ispirate dalla fede.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lastRenderedPageBreak/>
        <w:t>Per un’agricoltura multifunzionale, che non produca solo merci, ma anche relazioni, beni immateriali, cibo, ospitalità.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Per una finanza che recuperi la propria originaria ispirazione etica.</w:t>
      </w:r>
    </w:p>
    <w:p w:rsidR="00625601" w:rsidRPr="00625601" w:rsidRDefault="00625601" w:rsidP="00625601">
      <w:pPr>
        <w:jc w:val="both"/>
      </w:pPr>
      <w:r w:rsidRPr="00625601">
        <w:t>Sono diversi i soggetti interpellati per questa transizione: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Famiglie: ambiti di scambi intergenerazionali, rivolti al futuro e radicati in luoghi concreti e nella memoria del passato.</w:t>
      </w:r>
    </w:p>
    <w:p w:rsidR="00625601" w:rsidRPr="00625601" w:rsidRDefault="00625601" w:rsidP="00625601">
      <w:pPr>
        <w:numPr>
          <w:ilvl w:val="0"/>
          <w:numId w:val="2"/>
        </w:numPr>
        <w:jc w:val="both"/>
      </w:pPr>
      <w:r w:rsidRPr="00625601">
        <w:t>Comunità ecclesiali, che sappiano vivere di una “cultura del Cantico”, ma anche valorizzare le indicazioni della Dottrina Sociale della Chiesa, per promuovere…</w:t>
      </w:r>
    </w:p>
    <w:p w:rsidR="00625601" w:rsidRPr="00625601" w:rsidRDefault="00625601" w:rsidP="00625601">
      <w:pPr>
        <w:jc w:val="both"/>
      </w:pPr>
      <w:r w:rsidRPr="00625601">
        <w:t>…</w:t>
      </w:r>
      <w:r w:rsidR="008D64A5">
        <w:t xml:space="preserve"> </w:t>
      </w:r>
      <w:bookmarkStart w:id="0" w:name="_GoBack"/>
      <w:bookmarkEnd w:id="0"/>
      <w:r w:rsidRPr="00625601">
        <w:t>reti ed alleanze che coinvolgano pure la società civile e i diversi soggetti istituzionali ed imprenditoriali, in un dialogo ed un impegno condiviso.</w:t>
      </w:r>
    </w:p>
    <w:p w:rsidR="008D64A5" w:rsidRDefault="008D64A5" w:rsidP="00625601">
      <w:pPr>
        <w:jc w:val="both"/>
      </w:pPr>
    </w:p>
    <w:p w:rsidR="00625601" w:rsidRPr="00625601" w:rsidRDefault="00625601" w:rsidP="00625601">
      <w:pPr>
        <w:jc w:val="both"/>
      </w:pPr>
      <w:r w:rsidRPr="00625601">
        <w:t xml:space="preserve">“Speranza e futuro presuppongono memoria, la memoria dei nostri anziani è il sostegno per andare avanti nel cammino. Il futuro della società italiana è radicato negli anziani e nei giovani (…) Queste riflessioni non interessano solamente i credenti ma tutte le persone di buona volontà, tutti coloro che hanno a cuore i problemi del Paese, proprio come avviene per i problemi dell’ecologia ambientale che può molto aiutare a comprendere quelli dell’ecologia umana” (dal </w:t>
      </w:r>
      <w:r w:rsidRPr="00625601">
        <w:rPr>
          <w:i/>
        </w:rPr>
        <w:t>Messaggio di Papa Francesco alla Settimana Sociale</w:t>
      </w:r>
      <w:r w:rsidRPr="00625601">
        <w:t>).</w:t>
      </w:r>
    </w:p>
    <w:p w:rsidR="00625601" w:rsidRPr="00625601" w:rsidRDefault="00625601" w:rsidP="00625601">
      <w:pPr>
        <w:jc w:val="both"/>
      </w:pPr>
      <w:r w:rsidRPr="00625601">
        <w:t xml:space="preserve">La custodia del creato, dunque, è un luogo di incontro e di dialogo, che può diventare anche via per l’annuncio di fede. </w:t>
      </w:r>
    </w:p>
    <w:p w:rsidR="004D623E" w:rsidRDefault="004D623E" w:rsidP="00625601">
      <w:pPr>
        <w:jc w:val="both"/>
      </w:pPr>
    </w:p>
    <w:sectPr w:rsidR="004D623E" w:rsidSect="00CD3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CE" w:rsidRDefault="00E960CE" w:rsidP="00CD38A0">
      <w:r>
        <w:separator/>
      </w:r>
    </w:p>
  </w:endnote>
  <w:endnote w:type="continuationSeparator" w:id="0">
    <w:p w:rsidR="00E960CE" w:rsidRDefault="00E960CE" w:rsidP="00C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A0" w:rsidRPr="00CD38A0" w:rsidRDefault="00CD38A0">
    <w:pPr>
      <w:pStyle w:val="Pidipagina"/>
      <w:jc w:val="center"/>
      <w:rPr>
        <w:sz w:val="20"/>
        <w:szCs w:val="20"/>
      </w:rPr>
    </w:pPr>
    <w:r w:rsidRPr="00CD38A0">
      <w:rPr>
        <w:sz w:val="20"/>
        <w:szCs w:val="20"/>
      </w:rPr>
      <w:fldChar w:fldCharType="begin"/>
    </w:r>
    <w:r w:rsidRPr="00CD38A0">
      <w:rPr>
        <w:sz w:val="20"/>
        <w:szCs w:val="20"/>
      </w:rPr>
      <w:instrText>PAGE   \* MERGEFORMAT</w:instrText>
    </w:r>
    <w:r w:rsidRPr="00CD38A0">
      <w:rPr>
        <w:sz w:val="20"/>
        <w:szCs w:val="20"/>
      </w:rPr>
      <w:fldChar w:fldCharType="separate"/>
    </w:r>
    <w:r w:rsidR="008D64A5">
      <w:rPr>
        <w:noProof/>
        <w:sz w:val="20"/>
        <w:szCs w:val="20"/>
      </w:rPr>
      <w:t>2</w:t>
    </w:r>
    <w:r w:rsidRPr="00CD38A0">
      <w:rPr>
        <w:sz w:val="20"/>
        <w:szCs w:val="20"/>
      </w:rPr>
      <w:fldChar w:fldCharType="end"/>
    </w:r>
  </w:p>
  <w:p w:rsidR="00CD38A0" w:rsidRDefault="00CD38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CE" w:rsidRDefault="00E960CE" w:rsidP="00CD38A0">
      <w:r>
        <w:separator/>
      </w:r>
    </w:p>
  </w:footnote>
  <w:footnote w:type="continuationSeparator" w:id="0">
    <w:p w:rsidR="00E960CE" w:rsidRDefault="00E960CE" w:rsidP="00C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3B28"/>
    <w:multiLevelType w:val="hybridMultilevel"/>
    <w:tmpl w:val="2478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71E3"/>
    <w:multiLevelType w:val="hybridMultilevel"/>
    <w:tmpl w:val="E44E02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B"/>
    <w:rsid w:val="00060487"/>
    <w:rsid w:val="00065FAA"/>
    <w:rsid w:val="0009699B"/>
    <w:rsid w:val="000C400A"/>
    <w:rsid w:val="00153103"/>
    <w:rsid w:val="001A4CED"/>
    <w:rsid w:val="00260257"/>
    <w:rsid w:val="00430FFC"/>
    <w:rsid w:val="004B05BB"/>
    <w:rsid w:val="004D623E"/>
    <w:rsid w:val="004E0B75"/>
    <w:rsid w:val="00625601"/>
    <w:rsid w:val="00672819"/>
    <w:rsid w:val="00695382"/>
    <w:rsid w:val="006F7052"/>
    <w:rsid w:val="00742AF3"/>
    <w:rsid w:val="0076084A"/>
    <w:rsid w:val="00826638"/>
    <w:rsid w:val="008D64A5"/>
    <w:rsid w:val="008E116D"/>
    <w:rsid w:val="00990661"/>
    <w:rsid w:val="00A61FF2"/>
    <w:rsid w:val="00B85A08"/>
    <w:rsid w:val="00CD38A0"/>
    <w:rsid w:val="00CE71BB"/>
    <w:rsid w:val="00D27A46"/>
    <w:rsid w:val="00D91DB0"/>
    <w:rsid w:val="00DA4208"/>
    <w:rsid w:val="00E410A8"/>
    <w:rsid w:val="00E960CE"/>
    <w:rsid w:val="00F94959"/>
    <w:rsid w:val="00FD2C53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B7F3-FD57-4382-AAC6-210EF86C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2013-09-15T08:18:00Z</dcterms:created>
  <dcterms:modified xsi:type="dcterms:W3CDTF">2013-09-15T08:48:00Z</dcterms:modified>
</cp:coreProperties>
</file>